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3" w:type="pct"/>
        <w:tblLayout w:type="fixed"/>
        <w:tblLook w:val="0000" w:firstRow="0" w:lastRow="0" w:firstColumn="0" w:lastColumn="0" w:noHBand="0" w:noVBand="0"/>
      </w:tblPr>
      <w:tblGrid>
        <w:gridCol w:w="383"/>
        <w:gridCol w:w="2718"/>
        <w:gridCol w:w="716"/>
        <w:gridCol w:w="840"/>
        <w:gridCol w:w="1132"/>
        <w:gridCol w:w="24"/>
        <w:gridCol w:w="1080"/>
        <w:gridCol w:w="622"/>
        <w:gridCol w:w="1420"/>
        <w:gridCol w:w="1417"/>
        <w:gridCol w:w="397"/>
        <w:gridCol w:w="980"/>
        <w:gridCol w:w="179"/>
        <w:gridCol w:w="1277"/>
        <w:gridCol w:w="992"/>
        <w:gridCol w:w="992"/>
      </w:tblGrid>
      <w:tr w:rsidR="005921E0" w:rsidTr="00B32E09">
        <w:trPr>
          <w:trHeight w:val="1010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pct"/>
            <w:gridSpan w:val="4"/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0"/>
              </w:rPr>
              <w:t>ПРИЛОЖЕНИЕ</w:t>
            </w:r>
          </w:p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распоряжению</w:t>
            </w:r>
            <w:r w:rsidR="002161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Главы </w:t>
            </w: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5921E0" w:rsidRPr="008F4212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2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"Город Архангельск"</w:t>
            </w:r>
          </w:p>
          <w:p w:rsidR="005921E0" w:rsidRPr="008F4212" w:rsidRDefault="005921E0" w:rsidP="0053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530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2161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мая 2025 г. </w:t>
            </w:r>
            <w:r w:rsidRPr="00CC1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2161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0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2206</w:t>
            </w:r>
            <w:bookmarkStart w:id="0" w:name="_GoBack"/>
            <w:bookmarkEnd w:id="0"/>
            <w:r w:rsidR="002161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</w:p>
        </w:tc>
      </w:tr>
      <w:tr w:rsidR="005921E0" w:rsidTr="00216156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883A93" w:rsidRDefault="00790BC8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0B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"</w:t>
            </w:r>
            <w:r w:rsidR="005921E0"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883A93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216156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 и на плановый период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6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и 202</w:t>
            </w:r>
            <w:r w:rsidR="0031031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</w:t>
            </w:r>
            <w:r w:rsidRPr="00883A9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годов</w:t>
            </w:r>
          </w:p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B2" w:rsidTr="00216156">
        <w:trPr>
          <w:trHeight w:val="570"/>
        </w:trPr>
        <w:tc>
          <w:tcPr>
            <w:tcW w:w="1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работ,</w:t>
            </w:r>
          </w:p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24091" w:rsidTr="00216156">
        <w:trPr>
          <w:trHeight w:val="556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3FB2" w:rsidTr="00216156">
        <w:trPr>
          <w:trHeight w:val="75"/>
        </w:trPr>
        <w:tc>
          <w:tcPr>
            <w:tcW w:w="1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31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16156" w:rsidRPr="009B0D0E" w:rsidTr="00216156">
        <w:trPr>
          <w:trHeight w:val="268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56" w:rsidRDefault="00216156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156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4091" w:rsidRPr="009B0D0E" w:rsidTr="00216156">
        <w:trPr>
          <w:trHeight w:val="1544"/>
        </w:trPr>
        <w:tc>
          <w:tcPr>
            <w:tcW w:w="12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216156">
            <w:pPr>
              <w:spacing w:before="12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216156">
            <w:pPr>
              <w:spacing w:before="12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Автомобильная часть Северодвинского моста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через р. Северная Двина в границах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от автомобильной дороги М-8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до ул. Смольный Буян (левобережная эстакада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с подходом)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216156">
            <w:pPr>
              <w:widowControl w:val="0"/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капитальный ремонт</w:t>
            </w:r>
          </w:p>
        </w:tc>
        <w:tc>
          <w:tcPr>
            <w:tcW w:w="468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224554">
            <w:pPr>
              <w:spacing w:before="12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C6553" w:rsidP="00216156">
            <w:pPr>
              <w:spacing w:before="12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</w:tcBorders>
          </w:tcPr>
          <w:p w:rsidR="00743EB7" w:rsidRDefault="00743EB7" w:rsidP="00216156">
            <w:pPr>
              <w:spacing w:before="12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743EB7" w:rsidRDefault="0031031B" w:rsidP="00216156">
            <w:pPr>
              <w:spacing w:before="12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216156">
            <w:pPr>
              <w:widowControl w:val="0"/>
              <w:autoSpaceDE w:val="0"/>
              <w:autoSpaceDN w:val="0"/>
              <w:adjustRightInd w:val="0"/>
              <w:spacing w:before="12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216156">
            <w:pPr>
              <w:widowControl w:val="0"/>
              <w:autoSpaceDE w:val="0"/>
              <w:autoSpaceDN w:val="0"/>
              <w:adjustRightInd w:val="0"/>
              <w:spacing w:before="120"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3B37B6">
        <w:trPr>
          <w:trHeight w:val="427"/>
        </w:trPr>
        <w:tc>
          <w:tcPr>
            <w:tcW w:w="12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Советской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ул. Валявкина до ул. Терехина,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включая ул. Таймырскую</w:t>
            </w:r>
          </w:p>
        </w:tc>
        <w:tc>
          <w:tcPr>
            <w:tcW w:w="56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44713B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4713B"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90BC8" w:rsidRDefault="00102BB3" w:rsidP="0022455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0B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179 398,5</w:t>
            </w:r>
          </w:p>
        </w:tc>
        <w:tc>
          <w:tcPr>
            <w:tcW w:w="513" w:type="pct"/>
            <w:gridSpan w:val="3"/>
          </w:tcPr>
          <w:p w:rsidR="00102BB3" w:rsidRPr="00790BC8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876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53 521,8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3B37B6">
        <w:trPr>
          <w:trHeight w:val="687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566AA7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22455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102BB3" w:rsidRPr="00743EB7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102BB3" w:rsidRPr="0031031B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16 227,1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02BB3" w:rsidRPr="009B0D0E" w:rsidTr="003B37B6">
        <w:trPr>
          <w:trHeight w:val="703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44713B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90BC8" w:rsidRDefault="00102BB3" w:rsidP="0022455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102BB3" w:rsidRPr="00790BC8" w:rsidRDefault="00102BB3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102BB3" w:rsidRDefault="00102BB3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B3" w:rsidRPr="00743EB7" w:rsidRDefault="00102BB3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3B37B6">
        <w:trPr>
          <w:trHeight w:val="411"/>
        </w:trPr>
        <w:tc>
          <w:tcPr>
            <w:tcW w:w="12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pct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A7FCD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 xml:space="preserve">до ул. Г. Суфтина (участок - автодорога 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>по ул. Володарского от просп. Ломоносова</w:t>
            </w:r>
            <w:r w:rsidR="00216156">
              <w:rPr>
                <w:rFonts w:ascii="Times New Roman" w:hAnsi="Times New Roman"/>
                <w:sz w:val="24"/>
                <w:szCs w:val="24"/>
              </w:rPr>
              <w:br/>
            </w:r>
            <w:r w:rsidRPr="004A7FCD">
              <w:rPr>
                <w:rFonts w:ascii="Times New Roman" w:hAnsi="Times New Roman"/>
                <w:sz w:val="24"/>
                <w:szCs w:val="24"/>
              </w:rPr>
              <w:t>до просп. Обводный канал)</w:t>
            </w:r>
          </w:p>
        </w:tc>
        <w:tc>
          <w:tcPr>
            <w:tcW w:w="561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90BC8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A7FCD">
              <w:rPr>
                <w:rFonts w:ascii="Times New Roman" w:hAnsi="Times New Roman"/>
                <w:sz w:val="24"/>
                <w:szCs w:val="24"/>
              </w:rPr>
              <w:t>Капитальный ремонт автомобильной дороги</w:t>
            </w:r>
          </w:p>
        </w:tc>
        <w:tc>
          <w:tcPr>
            <w:tcW w:w="4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90BC8" w:rsidRDefault="0032536A" w:rsidP="0022455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86C2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6C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  <w:r w:rsidRPr="00B32E0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13" w:type="pct"/>
            <w:gridSpan w:val="3"/>
          </w:tcPr>
          <w:p w:rsidR="0032536A" w:rsidRPr="00790BC8" w:rsidRDefault="0032536A" w:rsidP="002161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32536A" w:rsidRDefault="0032536A" w:rsidP="002161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885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3B37B6">
        <w:trPr>
          <w:trHeight w:val="701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216156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32536A" w:rsidRPr="00743EB7" w:rsidRDefault="0032536A" w:rsidP="00216156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790BC8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32536A" w:rsidRPr="0031031B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36A" w:rsidRPr="009B0D0E" w:rsidTr="003B37B6">
        <w:trPr>
          <w:trHeight w:val="698"/>
        </w:trPr>
        <w:tc>
          <w:tcPr>
            <w:tcW w:w="12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216156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4A7FCD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386C2E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32536A" w:rsidRPr="00790BC8" w:rsidRDefault="0032536A" w:rsidP="00216156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32536A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478</w:t>
            </w:r>
            <w:r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36A" w:rsidRPr="00743EB7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3B37B6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750695" w:rsidRPr="005921E0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1" w:type="pct"/>
          </w:tcPr>
          <w:p w:rsidR="00750695" w:rsidRDefault="00122929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122929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083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743EB7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E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3B37B6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  <w:r w:rsidR="007506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3"/>
          </w:tcPr>
          <w:p w:rsidR="00750695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421" w:type="pct"/>
          </w:tcPr>
          <w:p w:rsidR="00750695" w:rsidRPr="0031031B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0695"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="007506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32536A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36A">
              <w:rPr>
                <w:rFonts w:ascii="Times New Roman" w:hAnsi="Times New Roman"/>
                <w:sz w:val="24"/>
                <w:szCs w:val="24"/>
              </w:rPr>
              <w:t>1 083,0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50695" w:rsidTr="003B37B6">
        <w:trPr>
          <w:trHeight w:val="288"/>
        </w:trPr>
        <w:tc>
          <w:tcPr>
            <w:tcW w:w="1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Pr="00934A3F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gridSpan w:val="3"/>
          </w:tcPr>
          <w:p w:rsidR="00750695" w:rsidRPr="005921E0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69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21" w:type="pct"/>
          </w:tcPr>
          <w:p w:rsidR="00750695" w:rsidRDefault="0032536A" w:rsidP="0021615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122929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50695" w:rsidRPr="00614E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95" w:rsidRDefault="00750695" w:rsidP="002161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1B0EC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1E0" w:rsidTr="00750695">
        <w:trPr>
          <w:trHeight w:val="288"/>
        </w:trPr>
        <w:tc>
          <w:tcPr>
            <w:tcW w:w="1258" w:type="pct"/>
            <w:gridSpan w:val="3"/>
          </w:tcPr>
          <w:p w:rsidR="005921E0" w:rsidRDefault="005921E0" w:rsidP="0088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156" w:rsidRDefault="00216156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 w:rsidP="0021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A3F" w:rsidRDefault="00216156" w:rsidP="00216156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934A3F" w:rsidSect="00216156">
      <w:headerReference w:type="default" r:id="rId8"/>
      <w:footerReference w:type="default" r:id="rId9"/>
      <w:headerReference w:type="first" r:id="rId10"/>
      <w:pgSz w:w="16901" w:h="11950" w:orient="landscape"/>
      <w:pgMar w:top="1276" w:right="1134" w:bottom="567" w:left="1134" w:header="1134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94" w:rsidRDefault="004B4B94">
      <w:pPr>
        <w:spacing w:after="0" w:line="240" w:lineRule="auto"/>
      </w:pPr>
      <w:r>
        <w:separator/>
      </w:r>
    </w:p>
  </w:endnote>
  <w:endnote w:type="continuationSeparator" w:id="0">
    <w:p w:rsidR="004B4B94" w:rsidRDefault="004B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94" w:rsidRDefault="004B4B94">
      <w:pPr>
        <w:spacing w:after="0" w:line="240" w:lineRule="auto"/>
      </w:pPr>
      <w:r>
        <w:separator/>
      </w:r>
    </w:p>
  </w:footnote>
  <w:footnote w:type="continuationSeparator" w:id="0">
    <w:p w:rsidR="004B4B94" w:rsidRDefault="004B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407938"/>
      <w:docPartObj>
        <w:docPartGallery w:val="Page Numbers (Top of Page)"/>
        <w:docPartUnique/>
      </w:docPartObj>
    </w:sdtPr>
    <w:sdtEndPr>
      <w:rPr>
        <w:rFonts w:ascii="Times New Roman" w:hAnsi="Times New Roman"/>
        <w:sz w:val="2"/>
        <w:szCs w:val="2"/>
      </w:rPr>
    </w:sdtEndPr>
    <w:sdtContent>
      <w:p w:rsidR="00216156" w:rsidRDefault="00216156">
        <w:pPr>
          <w:pStyle w:val="a5"/>
          <w:jc w:val="center"/>
          <w:rPr>
            <w:rFonts w:ascii="Times New Roman" w:hAnsi="Times New Roman"/>
            <w:sz w:val="24"/>
          </w:rPr>
        </w:pPr>
        <w:r w:rsidRPr="00216156">
          <w:rPr>
            <w:rFonts w:ascii="Times New Roman" w:hAnsi="Times New Roman"/>
            <w:sz w:val="24"/>
          </w:rPr>
          <w:fldChar w:fldCharType="begin"/>
        </w:r>
        <w:r w:rsidRPr="00216156">
          <w:rPr>
            <w:rFonts w:ascii="Times New Roman" w:hAnsi="Times New Roman"/>
            <w:sz w:val="24"/>
          </w:rPr>
          <w:instrText>PAGE   \* MERGEFORMAT</w:instrText>
        </w:r>
        <w:r w:rsidRPr="00216156">
          <w:rPr>
            <w:rFonts w:ascii="Times New Roman" w:hAnsi="Times New Roman"/>
            <w:sz w:val="24"/>
          </w:rPr>
          <w:fldChar w:fldCharType="separate"/>
        </w:r>
        <w:r w:rsidR="00E54BD0">
          <w:rPr>
            <w:rFonts w:ascii="Times New Roman" w:hAnsi="Times New Roman"/>
            <w:noProof/>
            <w:sz w:val="24"/>
          </w:rPr>
          <w:t>2</w:t>
        </w:r>
        <w:r w:rsidRPr="00216156">
          <w:rPr>
            <w:rFonts w:ascii="Times New Roman" w:hAnsi="Times New Roman"/>
            <w:sz w:val="24"/>
          </w:rPr>
          <w:fldChar w:fldCharType="end"/>
        </w:r>
      </w:p>
      <w:tbl>
        <w:tblPr>
          <w:tblW w:w="5183" w:type="pct"/>
          <w:tblLayout w:type="fixed"/>
          <w:tblLook w:val="0000" w:firstRow="0" w:lastRow="0" w:firstColumn="0" w:lastColumn="0" w:noHBand="0" w:noVBand="0"/>
        </w:tblPr>
        <w:tblGrid>
          <w:gridCol w:w="382"/>
          <w:gridCol w:w="5431"/>
          <w:gridCol w:w="1702"/>
          <w:gridCol w:w="1420"/>
          <w:gridCol w:w="1417"/>
          <w:gridCol w:w="1556"/>
          <w:gridCol w:w="1277"/>
          <w:gridCol w:w="992"/>
          <w:gridCol w:w="992"/>
        </w:tblGrid>
        <w:tr w:rsidR="00216156" w:rsidRPr="009B0D0E" w:rsidTr="00612E32">
          <w:trPr>
            <w:trHeight w:val="268"/>
          </w:trPr>
          <w:tc>
            <w:tcPr>
              <w:tcW w:w="126" w:type="pct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1</w:t>
              </w:r>
            </w:p>
          </w:tc>
          <w:tc>
            <w:tcPr>
              <w:tcW w:w="1790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</w:p>
          </w:tc>
          <w:tc>
            <w:tcPr>
              <w:tcW w:w="561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widowControl w:val="0"/>
                <w:autoSpaceDE w:val="0"/>
                <w:autoSpaceDN w:val="0"/>
                <w:adjustRightInd w:val="0"/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</w:p>
          </w:tc>
          <w:tc>
            <w:tcPr>
              <w:tcW w:w="468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4</w:t>
              </w:r>
            </w:p>
          </w:tc>
          <w:tc>
            <w:tcPr>
              <w:tcW w:w="46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</w:p>
          </w:tc>
          <w:tc>
            <w:tcPr>
              <w:tcW w:w="513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</w:p>
          </w:tc>
          <w:tc>
            <w:tcPr>
              <w:tcW w:w="421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216156" w:rsidRDefault="00216156" w:rsidP="00612E32">
              <w:pPr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7</w:t>
              </w:r>
            </w:p>
          </w:tc>
          <w:tc>
            <w:tcPr>
              <w:tcW w:w="32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widowControl w:val="0"/>
                <w:autoSpaceDE w:val="0"/>
                <w:autoSpaceDN w:val="0"/>
                <w:adjustRightInd w:val="0"/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</w:p>
          </w:tc>
          <w:tc>
            <w:tcPr>
              <w:tcW w:w="327" w:type="pct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tcMar>
                <w:top w:w="0" w:type="dxa"/>
                <w:left w:w="0" w:type="dxa"/>
                <w:bottom w:w="0" w:type="dxa"/>
                <w:right w:w="0" w:type="dxa"/>
              </w:tcMar>
            </w:tcPr>
            <w:p w:rsidR="00216156" w:rsidRDefault="00216156" w:rsidP="00612E32">
              <w:pPr>
                <w:widowControl w:val="0"/>
                <w:autoSpaceDE w:val="0"/>
                <w:autoSpaceDN w:val="0"/>
                <w:adjustRightInd w:val="0"/>
                <w:spacing w:after="0" w:line="280" w:lineRule="exact"/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>
                <w:rPr>
                  <w:rFonts w:ascii="Times New Roman" w:hAnsi="Times New Roman"/>
                  <w:sz w:val="24"/>
                  <w:szCs w:val="24"/>
                </w:rPr>
                <w:t>9</w:t>
              </w:r>
            </w:p>
          </w:tc>
        </w:tr>
      </w:tbl>
      <w:p w:rsidR="00216156" w:rsidRPr="00216156" w:rsidRDefault="007C074A">
        <w:pPr>
          <w:pStyle w:val="a5"/>
          <w:jc w:val="center"/>
          <w:rPr>
            <w:rFonts w:ascii="Times New Roman" w:hAnsi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56" w:rsidRPr="00216156" w:rsidRDefault="00216156" w:rsidP="00216156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00CF"/>
    <w:rsid w:val="00102BB3"/>
    <w:rsid w:val="00102D1B"/>
    <w:rsid w:val="00107E8C"/>
    <w:rsid w:val="00116E62"/>
    <w:rsid w:val="00122929"/>
    <w:rsid w:val="00175257"/>
    <w:rsid w:val="001948FB"/>
    <w:rsid w:val="00195F40"/>
    <w:rsid w:val="001B0EC8"/>
    <w:rsid w:val="001B3090"/>
    <w:rsid w:val="001B3271"/>
    <w:rsid w:val="001C0C07"/>
    <w:rsid w:val="001E562C"/>
    <w:rsid w:val="001F2F97"/>
    <w:rsid w:val="001F3207"/>
    <w:rsid w:val="00216156"/>
    <w:rsid w:val="00224554"/>
    <w:rsid w:val="002371E7"/>
    <w:rsid w:val="00276FAA"/>
    <w:rsid w:val="00281A8F"/>
    <w:rsid w:val="002C15C9"/>
    <w:rsid w:val="002C5730"/>
    <w:rsid w:val="002E0CA3"/>
    <w:rsid w:val="002E501E"/>
    <w:rsid w:val="002E60FD"/>
    <w:rsid w:val="0031031B"/>
    <w:rsid w:val="0032536A"/>
    <w:rsid w:val="00371BC9"/>
    <w:rsid w:val="00383886"/>
    <w:rsid w:val="00386C2E"/>
    <w:rsid w:val="003B37B6"/>
    <w:rsid w:val="003C5301"/>
    <w:rsid w:val="003C6553"/>
    <w:rsid w:val="003D122D"/>
    <w:rsid w:val="003D61B0"/>
    <w:rsid w:val="00400F56"/>
    <w:rsid w:val="0044713B"/>
    <w:rsid w:val="00451EB7"/>
    <w:rsid w:val="00480FD6"/>
    <w:rsid w:val="0048417F"/>
    <w:rsid w:val="0048537C"/>
    <w:rsid w:val="004A7FCD"/>
    <w:rsid w:val="004B4B94"/>
    <w:rsid w:val="004C1D4E"/>
    <w:rsid w:val="004C2AE4"/>
    <w:rsid w:val="004E7E27"/>
    <w:rsid w:val="00524091"/>
    <w:rsid w:val="00530761"/>
    <w:rsid w:val="00537614"/>
    <w:rsid w:val="00566AA7"/>
    <w:rsid w:val="005921E0"/>
    <w:rsid w:val="005E65C7"/>
    <w:rsid w:val="00614EA1"/>
    <w:rsid w:val="0066127A"/>
    <w:rsid w:val="006B40A8"/>
    <w:rsid w:val="007036D8"/>
    <w:rsid w:val="007215EE"/>
    <w:rsid w:val="00743EB7"/>
    <w:rsid w:val="00750695"/>
    <w:rsid w:val="0076793C"/>
    <w:rsid w:val="00786DB6"/>
    <w:rsid w:val="00787BD0"/>
    <w:rsid w:val="00790BC8"/>
    <w:rsid w:val="007C0A66"/>
    <w:rsid w:val="007C3A8D"/>
    <w:rsid w:val="008121C3"/>
    <w:rsid w:val="00822BBB"/>
    <w:rsid w:val="008547A0"/>
    <w:rsid w:val="00862042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B2672C"/>
    <w:rsid w:val="00B32E09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E10B8"/>
    <w:rsid w:val="00CF78B7"/>
    <w:rsid w:val="00D12365"/>
    <w:rsid w:val="00D12E6C"/>
    <w:rsid w:val="00D63931"/>
    <w:rsid w:val="00D65A52"/>
    <w:rsid w:val="00D70B4C"/>
    <w:rsid w:val="00DE6CDF"/>
    <w:rsid w:val="00DF7249"/>
    <w:rsid w:val="00E00A3D"/>
    <w:rsid w:val="00E02B74"/>
    <w:rsid w:val="00E0494F"/>
    <w:rsid w:val="00E068F2"/>
    <w:rsid w:val="00E11771"/>
    <w:rsid w:val="00E22109"/>
    <w:rsid w:val="00E54BD0"/>
    <w:rsid w:val="00E941AD"/>
    <w:rsid w:val="00ED1977"/>
    <w:rsid w:val="00ED585B"/>
    <w:rsid w:val="00EE31D0"/>
    <w:rsid w:val="00F12B45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0D41-6D92-4238-904D-8D2764EA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2024-04-02T08:25:00Z</cp:lastPrinted>
  <dcterms:created xsi:type="dcterms:W3CDTF">2025-05-13T06:30:00Z</dcterms:created>
  <dcterms:modified xsi:type="dcterms:W3CDTF">2025-05-13T06:30:00Z</dcterms:modified>
</cp:coreProperties>
</file>